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80D4" w14:textId="77777777" w:rsidR="00235150" w:rsidRPr="001317BA" w:rsidRDefault="00235150" w:rsidP="00235150">
      <w:pPr>
        <w:pStyle w:val="NoSpacing"/>
        <w:rPr>
          <w:rFonts w:ascii="Times New Roman" w:hAnsi="Times New Roman" w:cs="Times New Roman"/>
          <w:b/>
          <w:sz w:val="24"/>
          <w:szCs w:val="24"/>
        </w:rPr>
      </w:pPr>
    </w:p>
    <w:p w14:paraId="235204A2" w14:textId="77777777" w:rsidR="00235150" w:rsidRDefault="00235150" w:rsidP="00235150">
      <w:pPr>
        <w:pStyle w:val="NoSpacing"/>
        <w:ind w:left="142" w:right="118" w:firstLine="567"/>
        <w:jc w:val="both"/>
        <w:rPr>
          <w:rFonts w:ascii="Times New Roman" w:hAnsi="Times New Roman" w:cs="Times New Roman"/>
          <w:b/>
          <w:sz w:val="24"/>
          <w:szCs w:val="24"/>
        </w:rPr>
      </w:pPr>
    </w:p>
    <w:p w14:paraId="41F326BE" w14:textId="3FB856F1" w:rsidR="002D3554" w:rsidRPr="002D3554" w:rsidRDefault="002D3554" w:rsidP="002D3554">
      <w:pPr>
        <w:pStyle w:val="NoSpacing"/>
        <w:ind w:left="142" w:firstLine="709"/>
        <w:jc w:val="both"/>
        <w:rPr>
          <w:rFonts w:ascii="Times New Roman" w:hAnsi="Times New Roman" w:cs="Times New Roman"/>
          <w:b/>
          <w:bCs/>
          <w:sz w:val="28"/>
          <w:szCs w:val="28"/>
        </w:rPr>
      </w:pPr>
      <w:r w:rsidRPr="002D3554">
        <w:rPr>
          <w:rFonts w:ascii="Times New Roman" w:hAnsi="Times New Roman" w:cs="Times New Roman"/>
          <w:b/>
          <w:bCs/>
          <w:sz w:val="28"/>
          <w:szCs w:val="28"/>
        </w:rPr>
        <w:t>Mokytojams – atmintinė, kaip pasiruošti atnaujinto ugdymo turinio diegimui</w:t>
      </w:r>
    </w:p>
    <w:p w14:paraId="3A36B017" w14:textId="77777777" w:rsidR="00235150" w:rsidRPr="00235150" w:rsidRDefault="00235150" w:rsidP="00235150">
      <w:pPr>
        <w:pStyle w:val="NoSpacing"/>
        <w:ind w:left="142" w:right="118"/>
        <w:jc w:val="both"/>
        <w:rPr>
          <w:rFonts w:ascii="Times New Roman" w:hAnsi="Times New Roman" w:cs="Times New Roman"/>
          <w:b/>
          <w:sz w:val="24"/>
          <w:szCs w:val="24"/>
        </w:rPr>
      </w:pPr>
    </w:p>
    <w:p w14:paraId="4F2181EB" w14:textId="77777777" w:rsidR="002D3554" w:rsidRPr="002D3554" w:rsidRDefault="002D3554" w:rsidP="002D3554">
      <w:pPr>
        <w:pStyle w:val="NoSpacing"/>
        <w:ind w:left="142" w:firstLine="709"/>
        <w:jc w:val="both"/>
        <w:rPr>
          <w:rFonts w:ascii="Times New Roman" w:hAnsi="Times New Roman" w:cs="Times New Roman"/>
          <w:b/>
          <w:bCs/>
          <w:sz w:val="24"/>
          <w:szCs w:val="24"/>
        </w:rPr>
      </w:pPr>
      <w:r w:rsidRPr="002D3554">
        <w:rPr>
          <w:rFonts w:ascii="Times New Roman" w:hAnsi="Times New Roman" w:cs="Times New Roman"/>
          <w:b/>
          <w:bCs/>
          <w:sz w:val="24"/>
          <w:szCs w:val="24"/>
          <w:lang w:val="en-LT"/>
        </w:rPr>
        <w:t>Padėdama pasiruošti atnaujint</w:t>
      </w:r>
      <w:r w:rsidRPr="002D3554">
        <w:rPr>
          <w:rFonts w:ascii="Times New Roman" w:hAnsi="Times New Roman" w:cs="Times New Roman"/>
          <w:b/>
          <w:bCs/>
          <w:sz w:val="24"/>
          <w:szCs w:val="24"/>
        </w:rPr>
        <w:t>ų</w:t>
      </w:r>
      <w:r w:rsidRPr="002D3554">
        <w:rPr>
          <w:rFonts w:ascii="Times New Roman" w:hAnsi="Times New Roman" w:cs="Times New Roman"/>
          <w:b/>
          <w:bCs/>
          <w:sz w:val="24"/>
          <w:szCs w:val="24"/>
          <w:lang w:val="en-LT"/>
        </w:rPr>
        <w:t xml:space="preserve"> </w:t>
      </w:r>
      <w:r w:rsidRPr="002D3554">
        <w:rPr>
          <w:rFonts w:ascii="Times New Roman" w:hAnsi="Times New Roman" w:cs="Times New Roman"/>
          <w:b/>
          <w:bCs/>
          <w:sz w:val="24"/>
          <w:szCs w:val="24"/>
        </w:rPr>
        <w:t>bendrųjų programų</w:t>
      </w:r>
      <w:r w:rsidRPr="002D3554">
        <w:rPr>
          <w:rFonts w:ascii="Times New Roman" w:hAnsi="Times New Roman" w:cs="Times New Roman"/>
          <w:b/>
          <w:bCs/>
          <w:sz w:val="24"/>
          <w:szCs w:val="24"/>
          <w:lang w:val="en-LT"/>
        </w:rPr>
        <w:t xml:space="preserve"> diegimui, Nacionalinė švietimo agentūra (NŠA) pristato </w:t>
      </w:r>
      <w:r w:rsidRPr="002D3554">
        <w:rPr>
          <w:rFonts w:ascii="Times New Roman" w:hAnsi="Times New Roman" w:cs="Times New Roman"/>
          <w:b/>
          <w:bCs/>
          <w:sz w:val="24"/>
          <w:szCs w:val="24"/>
        </w:rPr>
        <w:t>atmintinę</w:t>
      </w:r>
      <w:r w:rsidRPr="002D3554">
        <w:rPr>
          <w:rFonts w:ascii="Times New Roman" w:hAnsi="Times New Roman" w:cs="Times New Roman"/>
          <w:b/>
          <w:bCs/>
          <w:sz w:val="24"/>
          <w:szCs w:val="24"/>
          <w:lang w:val="en-LT"/>
        </w:rPr>
        <w:t xml:space="preserve"> apie </w:t>
      </w:r>
      <w:r w:rsidRPr="002D3554">
        <w:rPr>
          <w:rFonts w:ascii="Times New Roman" w:hAnsi="Times New Roman" w:cs="Times New Roman"/>
          <w:b/>
          <w:bCs/>
          <w:sz w:val="24"/>
          <w:szCs w:val="24"/>
        </w:rPr>
        <w:t>siūlomas pasiruošimo priemones bei pateikia aktualius patarimus.</w:t>
      </w:r>
    </w:p>
    <w:p w14:paraId="5382007E" w14:textId="77777777" w:rsidR="002D3554" w:rsidRPr="002D3554" w:rsidRDefault="002D3554" w:rsidP="002D3554">
      <w:pPr>
        <w:pStyle w:val="NoSpacing"/>
        <w:ind w:left="142" w:firstLine="709"/>
        <w:jc w:val="both"/>
        <w:rPr>
          <w:rFonts w:ascii="Times New Roman" w:hAnsi="Times New Roman" w:cs="Times New Roman"/>
          <w:bCs/>
          <w:sz w:val="24"/>
          <w:szCs w:val="24"/>
        </w:rPr>
      </w:pPr>
      <w:r w:rsidRPr="002D3554">
        <w:rPr>
          <w:rFonts w:ascii="Times New Roman" w:hAnsi="Times New Roman" w:cs="Times New Roman"/>
          <w:bCs/>
          <w:sz w:val="24"/>
          <w:szCs w:val="24"/>
        </w:rPr>
        <w:t>Atmintinėje galima rasti svarbiausią informaciją apie programas bei kompetencijų ugdymą, nukreipiama, kur rasti diegimo rekomendacijas ir kitą įvairią metodinę medžiagą. Taip pat dalijamasi planavimo patarimais bei kitu naudingu turiniu.</w:t>
      </w:r>
    </w:p>
    <w:p w14:paraId="6BC5BFD3" w14:textId="77777777" w:rsidR="00D62F09" w:rsidRDefault="00D62F09" w:rsidP="002D3554">
      <w:pPr>
        <w:pStyle w:val="NoSpacing"/>
        <w:ind w:left="142" w:firstLine="709"/>
        <w:jc w:val="both"/>
        <w:rPr>
          <w:rFonts w:ascii="Times New Roman" w:hAnsi="Times New Roman" w:cs="Times New Roman"/>
          <w:bCs/>
          <w:sz w:val="24"/>
          <w:szCs w:val="24"/>
        </w:rPr>
      </w:pPr>
      <w:r w:rsidRPr="00D62F09">
        <w:rPr>
          <w:rFonts w:ascii="Times New Roman" w:hAnsi="Times New Roman" w:cs="Times New Roman"/>
          <w:b/>
          <w:bCs/>
          <w:sz w:val="24"/>
          <w:szCs w:val="24"/>
        </w:rPr>
        <w:t>Atmintinę rasite čia:</w:t>
      </w:r>
      <w:r w:rsidRPr="00D62F09">
        <w:rPr>
          <w:rFonts w:ascii="Times New Roman" w:hAnsi="Times New Roman" w:cs="Times New Roman"/>
          <w:bCs/>
          <w:sz w:val="24"/>
          <w:szCs w:val="24"/>
        </w:rPr>
        <w:t> </w:t>
      </w:r>
      <w:hyperlink r:id="rId6" w:history="1">
        <w:r w:rsidRPr="00D62F09">
          <w:rPr>
            <w:rStyle w:val="Hyperlink"/>
            <w:rFonts w:ascii="Times New Roman" w:hAnsi="Times New Roman" w:cs="Times New Roman"/>
            <w:bCs/>
            <w:sz w:val="24"/>
            <w:szCs w:val="24"/>
          </w:rPr>
          <w:t>skaitmeninė versija</w:t>
        </w:r>
      </w:hyperlink>
      <w:r w:rsidRPr="00D62F09">
        <w:rPr>
          <w:rFonts w:ascii="Times New Roman" w:hAnsi="Times New Roman" w:cs="Times New Roman"/>
          <w:bCs/>
          <w:sz w:val="24"/>
          <w:szCs w:val="24"/>
        </w:rPr>
        <w:t> ir </w:t>
      </w:r>
      <w:hyperlink r:id="rId7" w:history="1">
        <w:r w:rsidRPr="00D62F09">
          <w:rPr>
            <w:rStyle w:val="Hyperlink"/>
            <w:rFonts w:ascii="Times New Roman" w:hAnsi="Times New Roman" w:cs="Times New Roman"/>
            <w:bCs/>
            <w:sz w:val="24"/>
            <w:szCs w:val="24"/>
          </w:rPr>
          <w:t>versija spausdinimui</w:t>
        </w:r>
      </w:hyperlink>
      <w:r w:rsidRPr="00D62F09">
        <w:rPr>
          <w:rFonts w:ascii="Times New Roman" w:hAnsi="Times New Roman" w:cs="Times New Roman"/>
          <w:bCs/>
          <w:sz w:val="24"/>
          <w:szCs w:val="24"/>
        </w:rPr>
        <w:t>.</w:t>
      </w:r>
    </w:p>
    <w:p w14:paraId="371D6098" w14:textId="3C7B9311" w:rsidR="002D3554" w:rsidRPr="002D3554" w:rsidRDefault="002D3554" w:rsidP="002D3554">
      <w:pPr>
        <w:pStyle w:val="NoSpacing"/>
        <w:ind w:left="142" w:firstLine="709"/>
        <w:jc w:val="both"/>
        <w:rPr>
          <w:rFonts w:ascii="Times New Roman" w:hAnsi="Times New Roman" w:cs="Times New Roman"/>
          <w:bCs/>
          <w:sz w:val="24"/>
          <w:szCs w:val="24"/>
          <w:lang w:val="en-LT"/>
        </w:rPr>
      </w:pPr>
      <w:r w:rsidRPr="002D3554">
        <w:rPr>
          <w:rFonts w:ascii="Times New Roman" w:hAnsi="Times New Roman" w:cs="Times New Roman"/>
          <w:bCs/>
          <w:sz w:val="24"/>
          <w:szCs w:val="24"/>
          <w:lang w:val="en-LT"/>
        </w:rPr>
        <w:t>Tarp svarbiausių atnaujintų bendrųjų programų pokyčių – į kompetencijas orientuotas ugdymas, todėl NŠA specialistė dr. Ingrida Mereckaitė-Kušleikė atsako į dažniausiai užduodamus klausimus bei pataria, kaip geriausiai pasiruošti būsimoms pamokoms.</w:t>
      </w:r>
    </w:p>
    <w:p w14:paraId="7D0F8420" w14:textId="77777777" w:rsidR="002D3554" w:rsidRPr="002D3554" w:rsidRDefault="002D3554" w:rsidP="002D3554">
      <w:pPr>
        <w:pStyle w:val="NoSpacing"/>
        <w:ind w:left="142" w:firstLine="709"/>
        <w:jc w:val="both"/>
        <w:rPr>
          <w:rFonts w:ascii="Times New Roman" w:hAnsi="Times New Roman" w:cs="Times New Roman"/>
          <w:bCs/>
          <w:sz w:val="24"/>
          <w:szCs w:val="24"/>
          <w:lang w:val="en-LT"/>
        </w:rPr>
      </w:pPr>
      <w:r w:rsidRPr="002D3554">
        <w:rPr>
          <w:rFonts w:ascii="Times New Roman" w:hAnsi="Times New Roman" w:cs="Times New Roman"/>
          <w:bCs/>
          <w:sz w:val="24"/>
          <w:szCs w:val="24"/>
          <w:lang w:val="en-LT"/>
        </w:rPr>
        <w:t xml:space="preserve">Vaizdo klipe </w:t>
      </w:r>
      <w:proofErr w:type="spellStart"/>
      <w:r w:rsidRPr="002D3554">
        <w:rPr>
          <w:rFonts w:ascii="Times New Roman" w:hAnsi="Times New Roman" w:cs="Times New Roman"/>
          <w:bCs/>
          <w:sz w:val="24"/>
          <w:szCs w:val="24"/>
          <w:lang w:val="en-US"/>
        </w:rPr>
        <w:t>aptariama</w:t>
      </w:r>
      <w:proofErr w:type="spellEnd"/>
      <w:r w:rsidRPr="002D3554">
        <w:rPr>
          <w:rFonts w:ascii="Times New Roman" w:hAnsi="Times New Roman" w:cs="Times New Roman"/>
          <w:bCs/>
          <w:sz w:val="24"/>
          <w:szCs w:val="24"/>
          <w:lang w:val="en-US"/>
        </w:rPr>
        <w:t>,</w:t>
      </w:r>
      <w:r w:rsidRPr="002D3554">
        <w:rPr>
          <w:rFonts w:ascii="Times New Roman" w:hAnsi="Times New Roman" w:cs="Times New Roman"/>
          <w:bCs/>
          <w:sz w:val="24"/>
          <w:szCs w:val="24"/>
        </w:rPr>
        <w:t xml:space="preserve"> </w:t>
      </w:r>
      <w:r w:rsidRPr="002D3554">
        <w:rPr>
          <w:rFonts w:ascii="Times New Roman" w:hAnsi="Times New Roman" w:cs="Times New Roman"/>
          <w:bCs/>
          <w:sz w:val="24"/>
          <w:szCs w:val="24"/>
          <w:lang w:val="en-LT"/>
        </w:rPr>
        <w:t xml:space="preserve">kas yra kompetencijos bei kodėl jos svarbios atnaujintose programose. Pabrėžiami pokyčiai, pateikiama pavyzdžių, kaip planuoti </w:t>
      </w:r>
      <w:r w:rsidRPr="002D3554">
        <w:rPr>
          <w:rFonts w:ascii="Times New Roman" w:hAnsi="Times New Roman" w:cs="Times New Roman"/>
          <w:bCs/>
          <w:sz w:val="24"/>
          <w:szCs w:val="24"/>
        </w:rPr>
        <w:t>kompetencijų</w:t>
      </w:r>
      <w:r w:rsidRPr="002D3554">
        <w:rPr>
          <w:rFonts w:ascii="Times New Roman" w:hAnsi="Times New Roman" w:cs="Times New Roman"/>
          <w:bCs/>
          <w:sz w:val="24"/>
          <w:szCs w:val="24"/>
          <w:lang w:val="en-LT"/>
        </w:rPr>
        <w:t xml:space="preserve"> ugdymą bei įsivertinimą.</w:t>
      </w:r>
    </w:p>
    <w:p w14:paraId="574CC8D1" w14:textId="131FEBCF" w:rsidR="002D3554" w:rsidRPr="002D3554" w:rsidRDefault="002D3554" w:rsidP="002D3554">
      <w:pPr>
        <w:pStyle w:val="NoSpacing"/>
        <w:ind w:left="142" w:firstLine="709"/>
        <w:jc w:val="both"/>
        <w:rPr>
          <w:rFonts w:ascii="Times New Roman" w:hAnsi="Times New Roman" w:cs="Times New Roman"/>
          <w:bCs/>
          <w:sz w:val="24"/>
          <w:szCs w:val="24"/>
        </w:rPr>
      </w:pPr>
      <w:r w:rsidRPr="002D3554">
        <w:rPr>
          <w:rFonts w:ascii="Times New Roman" w:hAnsi="Times New Roman" w:cs="Times New Roman"/>
          <w:bCs/>
          <w:sz w:val="24"/>
          <w:szCs w:val="24"/>
          <w:lang w:val="en-LT"/>
        </w:rPr>
        <w:t>Vaizdo klipą rasite čia </w:t>
      </w:r>
      <w:hyperlink r:id="rId8" w:history="1">
        <w:r w:rsidRPr="002D3554">
          <w:rPr>
            <w:rStyle w:val="Hyperlink"/>
            <w:rFonts w:ascii="Times New Roman" w:hAnsi="Times New Roman" w:cs="Times New Roman"/>
            <w:bCs/>
            <w:sz w:val="24"/>
            <w:szCs w:val="24"/>
            <w:lang w:val="en-LT"/>
          </w:rPr>
          <w:t>&gt;&gt;&gt;&gt;</w:t>
        </w:r>
      </w:hyperlink>
    </w:p>
    <w:p w14:paraId="4AA62E61" w14:textId="644E1255" w:rsidR="002D3554" w:rsidRDefault="002D3554" w:rsidP="002D3554">
      <w:pPr>
        <w:pStyle w:val="NoSpacing"/>
        <w:ind w:left="142" w:firstLine="709"/>
        <w:jc w:val="both"/>
        <w:rPr>
          <w:rFonts w:ascii="Times New Roman" w:hAnsi="Times New Roman" w:cs="Times New Roman"/>
          <w:b/>
          <w:sz w:val="24"/>
          <w:szCs w:val="24"/>
          <w:lang w:val="en-LT"/>
        </w:rPr>
      </w:pPr>
    </w:p>
    <w:p w14:paraId="22223194" w14:textId="77777777" w:rsidR="002D3554" w:rsidRPr="002D3554" w:rsidRDefault="002D3554" w:rsidP="002D3554">
      <w:pPr>
        <w:pStyle w:val="NoSpacing"/>
        <w:ind w:left="142" w:firstLine="709"/>
        <w:jc w:val="both"/>
        <w:rPr>
          <w:rFonts w:ascii="Times New Roman" w:hAnsi="Times New Roman" w:cs="Times New Roman"/>
          <w:b/>
          <w:sz w:val="24"/>
          <w:szCs w:val="24"/>
          <w:lang w:val="en-LT"/>
        </w:rPr>
      </w:pPr>
    </w:p>
    <w:p w14:paraId="37C0EA3E" w14:textId="77777777" w:rsidR="002D3554" w:rsidRPr="002D3554" w:rsidRDefault="002D3554" w:rsidP="002D3554">
      <w:pPr>
        <w:pStyle w:val="NoSpacing"/>
        <w:ind w:left="142" w:firstLine="709"/>
        <w:jc w:val="both"/>
        <w:rPr>
          <w:rFonts w:ascii="Times New Roman" w:hAnsi="Times New Roman" w:cs="Times New Roman"/>
          <w:b/>
          <w:sz w:val="24"/>
          <w:szCs w:val="24"/>
          <w:lang w:val="en-LT"/>
        </w:rPr>
      </w:pPr>
      <w:r w:rsidRPr="002D3554">
        <w:rPr>
          <w:rFonts w:ascii="Times New Roman" w:hAnsi="Times New Roman" w:cs="Times New Roman"/>
          <w:b/>
          <w:sz w:val="24"/>
          <w:szCs w:val="24"/>
          <w:lang w:val="en-LT"/>
        </w:rPr>
        <w:t>Visą pasiruošimo diegti atnaujintas Bendrąsias programas medžiagą rasite </w:t>
      </w:r>
      <w:hyperlink r:id="rId9" w:history="1">
        <w:r w:rsidRPr="002D3554">
          <w:rPr>
            <w:rStyle w:val="Hyperlink"/>
            <w:rFonts w:ascii="Times New Roman" w:hAnsi="Times New Roman" w:cs="Times New Roman"/>
            <w:b/>
            <w:sz w:val="24"/>
            <w:szCs w:val="24"/>
            <w:lang w:val="en-LT"/>
          </w:rPr>
          <w:t>Švietimo portale</w:t>
        </w:r>
      </w:hyperlink>
      <w:r w:rsidRPr="002D3554">
        <w:rPr>
          <w:rFonts w:ascii="Times New Roman" w:hAnsi="Times New Roman" w:cs="Times New Roman"/>
          <w:b/>
          <w:sz w:val="24"/>
          <w:szCs w:val="24"/>
          <w:lang w:val="en-LT"/>
        </w:rPr>
        <w:t>.</w:t>
      </w:r>
    </w:p>
    <w:p w14:paraId="69A27BAE" w14:textId="77777777" w:rsidR="00F67935" w:rsidRDefault="00F67935"/>
    <w:sectPr w:rsidR="00F67935" w:rsidSect="006E2F2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9568" w14:textId="77777777" w:rsidR="000C0AC8" w:rsidRDefault="000C0AC8">
      <w:pPr>
        <w:spacing w:after="0" w:line="240" w:lineRule="auto"/>
      </w:pPr>
      <w:r>
        <w:separator/>
      </w:r>
    </w:p>
  </w:endnote>
  <w:endnote w:type="continuationSeparator" w:id="0">
    <w:p w14:paraId="576405E0" w14:textId="77777777" w:rsidR="000C0AC8" w:rsidRDefault="000C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A83F" w14:textId="77777777" w:rsidR="00B703C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85B3" w14:textId="77777777" w:rsidR="006E2F2F" w:rsidRPr="008E32B6" w:rsidRDefault="00235150" w:rsidP="00D073FB">
    <w:pPr>
      <w:pStyle w:val="NoSpacing"/>
      <w:ind w:firstLine="567"/>
      <w:jc w:val="both"/>
      <w:rPr>
        <w:rFonts w:ascii="Times New Roman" w:hAnsi="Times New Roman" w:cs="Times New Roman"/>
        <w:bCs/>
        <w:i/>
        <w:iCs/>
        <w:color w:val="7F7F7F" w:themeColor="text1" w:themeTint="80"/>
      </w:rPr>
    </w:pPr>
    <w:r w:rsidRPr="008E32B6">
      <w:rPr>
        <w:rFonts w:ascii="Times New Roman" w:hAnsi="Times New Roman" w:cs="Times New Roman"/>
        <w:bCs/>
        <w:i/>
        <w:iCs/>
        <w:color w:val="7F7F7F" w:themeColor="text1" w:themeTint="80"/>
      </w:rPr>
      <w:t>Apie Nacionalinę švietimo agentūrą (NŠA)</w:t>
    </w:r>
  </w:p>
  <w:p w14:paraId="7EF511A5" w14:textId="77777777" w:rsidR="006E2F2F" w:rsidRPr="008E32B6" w:rsidRDefault="00235150" w:rsidP="00D073FB">
    <w:pPr>
      <w:pStyle w:val="NoSpacing"/>
      <w:ind w:firstLine="567"/>
      <w:jc w:val="both"/>
      <w:rPr>
        <w:rFonts w:ascii="Times New Roman" w:hAnsi="Times New Roman" w:cs="Times New Roman"/>
        <w:bCs/>
        <w:i/>
        <w:iCs/>
        <w:color w:val="7F7F7F" w:themeColor="text1" w:themeTint="80"/>
      </w:rPr>
    </w:pPr>
    <w:r w:rsidRPr="008E32B6">
      <w:rPr>
        <w:rFonts w:ascii="Times New Roman" w:hAnsi="Times New Roman" w:cs="Times New Roman"/>
        <w:bCs/>
        <w:i/>
        <w:iCs/>
        <w:color w:val="7F7F7F" w:themeColor="text1" w:themeTint="80"/>
      </w:rPr>
      <w:t>NŠA dalyvauja įgyvendinant valstybinę ikimokyklinio, priešmokyklinio ir bendrojo ugdymo politiką. Prisideda užtikrinant švietimo kokybę, teikia informacinę, konsultacinę, kvalifikacijos tobulinimo, ugdymo pagalbą. Vykdo švietimo stebėseną ir švietimo tyrimus, formuoja ugdymo turinį ir koordinuoja jo įgyvendinimą.</w:t>
    </w:r>
  </w:p>
  <w:p w14:paraId="1AB2DD41" w14:textId="77777777" w:rsidR="006E2F2F" w:rsidRPr="00D073FB" w:rsidRDefault="00235150" w:rsidP="00D073FB">
    <w:pPr>
      <w:rPr>
        <w:rFonts w:ascii="Times New Roman" w:hAnsi="Times New Roman" w:cs="Times New Roman"/>
        <w:color w:val="006B3E"/>
        <w:sz w:val="24"/>
        <w:szCs w:val="24"/>
      </w:rPr>
    </w:pPr>
    <w:r w:rsidRPr="00D073FB">
      <w:rPr>
        <w:rFonts w:ascii="Times New Roman" w:hAnsi="Times New Roman" w:cs="Times New Roman"/>
        <w:color w:val="006B3E"/>
        <w:sz w:val="24"/>
        <w:szCs w:val="24"/>
      </w:rPr>
      <w:t>_______________________________________________________________________________________</w:t>
    </w:r>
  </w:p>
  <w:tbl>
    <w:tblPr>
      <w:tblStyle w:val="Stilius1"/>
      <w:tblW w:w="10485" w:type="dxa"/>
      <w:tblLook w:val="04A0" w:firstRow="1" w:lastRow="0" w:firstColumn="1" w:lastColumn="0" w:noHBand="0" w:noVBand="1"/>
    </w:tblPr>
    <w:tblGrid>
      <w:gridCol w:w="3681"/>
      <w:gridCol w:w="2268"/>
      <w:gridCol w:w="2268"/>
      <w:gridCol w:w="2268"/>
    </w:tblGrid>
    <w:tr w:rsidR="006E2F2F" w14:paraId="2BE1F432" w14:textId="77777777" w:rsidTr="00D073FB">
      <w:tc>
        <w:tcPr>
          <w:tcW w:w="3681" w:type="dxa"/>
        </w:tcPr>
        <w:p w14:paraId="5ADED942" w14:textId="77777777" w:rsidR="006E2F2F" w:rsidRPr="00D073FB" w:rsidRDefault="00235150" w:rsidP="000A5F10">
          <w:pPr>
            <w:pStyle w:val="NoSpacing"/>
            <w:rPr>
              <w:rFonts w:ascii="Times New Roman" w:hAnsi="Times New Roman" w:cs="Times New Roman"/>
              <w:b/>
              <w:color w:val="006B3E"/>
              <w:sz w:val="20"/>
              <w:szCs w:val="20"/>
            </w:rPr>
          </w:pPr>
          <w:r w:rsidRPr="00D073FB">
            <w:rPr>
              <w:rFonts w:ascii="Times New Roman" w:hAnsi="Times New Roman" w:cs="Times New Roman"/>
              <w:b/>
              <w:color w:val="006B3E"/>
              <w:sz w:val="20"/>
              <w:szCs w:val="20"/>
            </w:rPr>
            <w:t>Nacionalinė švietimo agentūra</w:t>
          </w:r>
        </w:p>
        <w:p w14:paraId="3241A03B" w14:textId="77777777" w:rsidR="006E2F2F" w:rsidRPr="00D073FB" w:rsidRDefault="00235150" w:rsidP="00B703C7">
          <w:pPr>
            <w:pStyle w:val="NoSpacing"/>
            <w:rPr>
              <w:rFonts w:ascii="Times New Roman" w:hAnsi="Times New Roman" w:cs="Times New Roman"/>
              <w:b/>
              <w:color w:val="006B3E"/>
              <w:sz w:val="20"/>
              <w:szCs w:val="20"/>
            </w:rPr>
          </w:pPr>
          <w:r w:rsidRPr="00D073FB">
            <w:rPr>
              <w:rFonts w:ascii="Times New Roman" w:hAnsi="Times New Roman" w:cs="Times New Roman"/>
              <w:b/>
              <w:color w:val="006B3E"/>
              <w:sz w:val="20"/>
              <w:szCs w:val="20"/>
            </w:rPr>
            <w:t>www.nsa.smm.lt</w:t>
          </w:r>
        </w:p>
      </w:tc>
      <w:tc>
        <w:tcPr>
          <w:tcW w:w="2268" w:type="dxa"/>
        </w:tcPr>
        <w:p w14:paraId="1AACB673" w14:textId="77777777" w:rsidR="006E2F2F" w:rsidRPr="00D073FB" w:rsidRDefault="00235150" w:rsidP="000A5F10">
          <w:pPr>
            <w:pStyle w:val="NoSpacing"/>
            <w:ind w:left="38"/>
            <w:rPr>
              <w:rFonts w:ascii="Times New Roman" w:hAnsi="Times New Roman" w:cs="Times New Roman"/>
              <w:b/>
              <w:color w:val="006B3E"/>
              <w:sz w:val="20"/>
              <w:szCs w:val="20"/>
            </w:rPr>
          </w:pPr>
          <w:r w:rsidRPr="00D073FB">
            <w:rPr>
              <w:rFonts w:ascii="Times New Roman" w:hAnsi="Times New Roman" w:cs="Times New Roman"/>
              <w:b/>
              <w:color w:val="006B3E"/>
              <w:sz w:val="20"/>
              <w:szCs w:val="20"/>
            </w:rPr>
            <w:t>K. Kalinausko g. 7, Vilnius, 03107</w:t>
          </w:r>
        </w:p>
      </w:tc>
      <w:tc>
        <w:tcPr>
          <w:tcW w:w="2268" w:type="dxa"/>
        </w:tcPr>
        <w:p w14:paraId="6EE02A66" w14:textId="77777777" w:rsidR="006E2F2F" w:rsidRPr="00D073FB" w:rsidRDefault="00235150" w:rsidP="000A5F10">
          <w:pPr>
            <w:pStyle w:val="NoSpacing"/>
            <w:ind w:left="41"/>
            <w:rPr>
              <w:rFonts w:ascii="Times New Roman" w:hAnsi="Times New Roman" w:cs="Times New Roman"/>
              <w:b/>
              <w:color w:val="006B3E"/>
              <w:sz w:val="20"/>
              <w:szCs w:val="20"/>
            </w:rPr>
          </w:pPr>
          <w:r w:rsidRPr="00D073FB">
            <w:rPr>
              <w:rFonts w:ascii="Times New Roman" w:hAnsi="Times New Roman" w:cs="Times New Roman"/>
              <w:b/>
              <w:color w:val="006B3E"/>
              <w:sz w:val="20"/>
              <w:szCs w:val="20"/>
            </w:rPr>
            <w:t>Tel. 8 658 18504</w:t>
          </w:r>
        </w:p>
        <w:p w14:paraId="28C775FB" w14:textId="77777777" w:rsidR="006E2F2F" w:rsidRPr="003C0656" w:rsidRDefault="00000000" w:rsidP="00B703C7">
          <w:pPr>
            <w:pStyle w:val="NoSpacing"/>
            <w:ind w:left="41"/>
            <w:rPr>
              <w:rFonts w:ascii="Times New Roman" w:hAnsi="Times New Roman" w:cs="Times New Roman"/>
              <w:b/>
              <w:color w:val="006B3E"/>
              <w:sz w:val="20"/>
              <w:szCs w:val="20"/>
            </w:rPr>
          </w:pPr>
          <w:hyperlink r:id="rId1" w:history="1">
            <w:r w:rsidR="00235150" w:rsidRPr="003C0656">
              <w:rPr>
                <w:rStyle w:val="Hyperlink"/>
                <w:rFonts w:ascii="Times New Roman" w:hAnsi="Times New Roman" w:cs="Times New Roman"/>
                <w:b/>
                <w:color w:val="006B3E"/>
                <w:sz w:val="20"/>
                <w:szCs w:val="20"/>
                <w:u w:val="none"/>
              </w:rPr>
              <w:t>info@nsa.smm.lt</w:t>
            </w:r>
          </w:hyperlink>
        </w:p>
      </w:tc>
      <w:tc>
        <w:tcPr>
          <w:tcW w:w="2268" w:type="dxa"/>
        </w:tcPr>
        <w:p w14:paraId="0705D975" w14:textId="77777777" w:rsidR="006E2F2F" w:rsidRPr="00D073FB" w:rsidRDefault="00235150" w:rsidP="000A5F10">
          <w:pPr>
            <w:ind w:left="44"/>
            <w:rPr>
              <w:rFonts w:ascii="Times New Roman" w:hAnsi="Times New Roman" w:cs="Times New Roman"/>
              <w:b/>
              <w:color w:val="006B3E"/>
              <w:sz w:val="20"/>
              <w:szCs w:val="20"/>
            </w:rPr>
          </w:pPr>
          <w:r w:rsidRPr="00D073FB">
            <w:rPr>
              <w:rFonts w:ascii="Times New Roman" w:hAnsi="Times New Roman" w:cs="Times New Roman"/>
              <w:b/>
              <w:color w:val="006B3E"/>
              <w:sz w:val="20"/>
              <w:szCs w:val="20"/>
            </w:rPr>
            <w:t>Biudžetinė įstaiga</w:t>
          </w:r>
        </w:p>
        <w:p w14:paraId="0674049F" w14:textId="77777777" w:rsidR="006E2F2F" w:rsidRPr="00D073FB" w:rsidRDefault="00235150" w:rsidP="000A5F10">
          <w:pPr>
            <w:ind w:left="44"/>
            <w:rPr>
              <w:rFonts w:ascii="Times New Roman" w:hAnsi="Times New Roman" w:cs="Times New Roman"/>
              <w:color w:val="006B3E"/>
              <w:sz w:val="24"/>
              <w:szCs w:val="24"/>
            </w:rPr>
          </w:pPr>
          <w:r w:rsidRPr="00D073FB">
            <w:rPr>
              <w:rFonts w:ascii="Times New Roman" w:hAnsi="Times New Roman" w:cs="Times New Roman"/>
              <w:b/>
              <w:color w:val="006B3E"/>
              <w:sz w:val="20"/>
              <w:szCs w:val="20"/>
            </w:rPr>
            <w:t>Kodas 305238040</w:t>
          </w:r>
        </w:p>
      </w:tc>
    </w:tr>
  </w:tbl>
  <w:p w14:paraId="1661F0FE" w14:textId="77777777" w:rsidR="006E2F2F"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C759" w14:textId="77777777" w:rsidR="00B703C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F514" w14:textId="77777777" w:rsidR="000C0AC8" w:rsidRDefault="000C0AC8">
      <w:pPr>
        <w:spacing w:after="0" w:line="240" w:lineRule="auto"/>
      </w:pPr>
      <w:r>
        <w:separator/>
      </w:r>
    </w:p>
  </w:footnote>
  <w:footnote w:type="continuationSeparator" w:id="0">
    <w:p w14:paraId="5C295997" w14:textId="77777777" w:rsidR="000C0AC8" w:rsidRDefault="000C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B56D" w14:textId="77777777" w:rsidR="00B703C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8F56" w14:textId="77777777" w:rsidR="006E2F2F" w:rsidRDefault="00235150" w:rsidP="00D073FB">
    <w:pPr>
      <w:jc w:val="center"/>
      <w:rPr>
        <w:color w:val="006B3E"/>
      </w:rPr>
    </w:pPr>
    <w:r w:rsidRPr="00D073FB">
      <w:rPr>
        <w:color w:val="006B3E"/>
      </w:rPr>
      <w:t>______________________________________________________________________________________________</w:t>
    </w:r>
  </w:p>
  <w:p w14:paraId="315277F6" w14:textId="77777777" w:rsidR="006E2F2F" w:rsidRDefault="00235150" w:rsidP="00D073FB">
    <w:pPr>
      <w:jc w:val="center"/>
    </w:pPr>
    <w:r>
      <w:rPr>
        <w:noProof/>
        <w:lang w:eastAsia="lt-LT"/>
      </w:rPr>
      <w:drawing>
        <wp:inline distT="0" distB="0" distL="0" distR="0" wp14:anchorId="7F8A2CFE" wp14:editId="72ED1337">
          <wp:extent cx="2200275" cy="770998"/>
          <wp:effectExtent l="0" t="0" r="0" b="0"/>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1">
                    <a:extLst>
                      <a:ext uri="{28A0092B-C50C-407E-A947-70E740481C1C}">
                        <a14:useLocalDpi xmlns:a14="http://schemas.microsoft.com/office/drawing/2010/main" val="0"/>
                      </a:ext>
                    </a:extLst>
                  </a:blip>
                  <a:stretch>
                    <a:fillRect/>
                  </a:stretch>
                </pic:blipFill>
                <pic:spPr>
                  <a:xfrm>
                    <a:off x="0" y="0"/>
                    <a:ext cx="2200275" cy="770998"/>
                  </a:xfrm>
                  <a:prstGeom prst="rect">
                    <a:avLst/>
                  </a:prstGeom>
                </pic:spPr>
              </pic:pic>
            </a:graphicData>
          </a:graphic>
        </wp:inline>
      </w:drawing>
    </w:r>
    <w:r w:rsidRPr="49A2FB43">
      <w:rPr>
        <w:color w:val="006B3E"/>
      </w:rPr>
      <w:t>_____________________________________________________________________________________________</w:t>
    </w:r>
  </w:p>
  <w:p w14:paraId="43D0E82B" w14:textId="77777777" w:rsidR="006E2F2F"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58BA" w14:textId="77777777" w:rsidR="00B703C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50"/>
    <w:rsid w:val="000C0AC8"/>
    <w:rsid w:val="001317BA"/>
    <w:rsid w:val="0015112F"/>
    <w:rsid w:val="001D46B9"/>
    <w:rsid w:val="00235150"/>
    <w:rsid w:val="00290619"/>
    <w:rsid w:val="002C40E4"/>
    <w:rsid w:val="002D3554"/>
    <w:rsid w:val="00404C97"/>
    <w:rsid w:val="00880ABA"/>
    <w:rsid w:val="00D62F09"/>
    <w:rsid w:val="00F6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84C6"/>
  <w15:chartTrackingRefBased/>
  <w15:docId w15:val="{9E14CE94-519C-4FF5-A12E-AD95A2F4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ilius2">
    <w:name w:val="Stilius2"/>
    <w:basedOn w:val="TableNormal"/>
    <w:uiPriority w:val="99"/>
    <w:rsid w:val="00290619"/>
    <w:pPr>
      <w:spacing w:after="0" w:line="240" w:lineRule="auto"/>
    </w:pPr>
    <w:tblPr/>
  </w:style>
  <w:style w:type="paragraph" w:styleId="Header">
    <w:name w:val="header"/>
    <w:basedOn w:val="Normal"/>
    <w:link w:val="HeaderChar"/>
    <w:uiPriority w:val="99"/>
    <w:unhideWhenUsed/>
    <w:rsid w:val="002351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5150"/>
  </w:style>
  <w:style w:type="paragraph" w:styleId="Footer">
    <w:name w:val="footer"/>
    <w:basedOn w:val="Normal"/>
    <w:link w:val="FooterChar"/>
    <w:uiPriority w:val="99"/>
    <w:unhideWhenUsed/>
    <w:rsid w:val="002351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5150"/>
  </w:style>
  <w:style w:type="table" w:customStyle="1" w:styleId="Stilius1">
    <w:name w:val="Stilius1"/>
    <w:basedOn w:val="TableNormal"/>
    <w:uiPriority w:val="99"/>
    <w:rsid w:val="00235150"/>
    <w:pPr>
      <w:spacing w:after="0" w:line="240" w:lineRule="auto"/>
    </w:pPr>
    <w:tblPr/>
  </w:style>
  <w:style w:type="character" w:styleId="Hyperlink">
    <w:name w:val="Hyperlink"/>
    <w:basedOn w:val="DefaultParagraphFont"/>
    <w:uiPriority w:val="99"/>
    <w:unhideWhenUsed/>
    <w:rsid w:val="00235150"/>
    <w:rPr>
      <w:color w:val="0563C1" w:themeColor="hyperlink"/>
      <w:u w:val="single"/>
    </w:rPr>
  </w:style>
  <w:style w:type="paragraph" w:styleId="NoSpacing">
    <w:name w:val="No Spacing"/>
    <w:uiPriority w:val="1"/>
    <w:qFormat/>
    <w:rsid w:val="00235150"/>
    <w:pPr>
      <w:spacing w:after="0" w:line="240" w:lineRule="auto"/>
    </w:pPr>
  </w:style>
  <w:style w:type="character" w:styleId="UnresolvedMention">
    <w:name w:val="Unresolved Mention"/>
    <w:basedOn w:val="DefaultParagraphFont"/>
    <w:uiPriority w:val="99"/>
    <w:semiHidden/>
    <w:unhideWhenUsed/>
    <w:rsid w:val="002D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rUl8DDVzLw"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nsa.smm.lt/wp-content/uploads/2023/04/Kaip-pasiruosti-ATNAUJINTO-TURINIO-diegimui-print.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sa.smm.lt/wp-content/uploads/2023/04/Kaip-pasiruosti-ATNAUJINTO-TURINIO-diegimui.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bit.ly/406YMW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nsa.smm.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Kažukauskaitė-Sarnickienė</dc:creator>
  <cp:keywords/>
  <dc:description/>
  <cp:lastModifiedBy>Ignas Stanislovaitis</cp:lastModifiedBy>
  <cp:revision>6</cp:revision>
  <dcterms:created xsi:type="dcterms:W3CDTF">2023-04-24T15:00:00Z</dcterms:created>
  <dcterms:modified xsi:type="dcterms:W3CDTF">2023-04-25T07:14:00Z</dcterms:modified>
</cp:coreProperties>
</file>