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7F9" w:rsidRPr="001447F9" w:rsidRDefault="001447F9" w:rsidP="001447F9">
      <w:pPr>
        <w:tabs>
          <w:tab w:val="left" w:pos="1134"/>
          <w:tab w:val="left" w:pos="1701"/>
        </w:tabs>
        <w:spacing w:after="0" w:line="240" w:lineRule="auto"/>
        <w:jc w:val="center"/>
        <w:rPr>
          <w:rFonts w:ascii="Times New Roman" w:eastAsia="Times New Roman" w:hAnsi="Times New Roman" w:cs="Times New Roman"/>
          <w:b/>
          <w:sz w:val="24"/>
          <w:szCs w:val="24"/>
        </w:rPr>
      </w:pPr>
      <w:r w:rsidRPr="001447F9">
        <w:rPr>
          <w:rFonts w:ascii="Times New Roman" w:eastAsia="Times New Roman" w:hAnsi="Times New Roman" w:cs="Times New Roman"/>
          <w:b/>
          <w:sz w:val="24"/>
          <w:szCs w:val="24"/>
        </w:rPr>
        <w:t>JONAVOS „NERIES“ PAGRINDINĖS MOKYKLOS</w:t>
      </w:r>
    </w:p>
    <w:p w:rsidR="001447F9" w:rsidRPr="001447F9" w:rsidRDefault="001447F9" w:rsidP="001447F9">
      <w:pPr>
        <w:tabs>
          <w:tab w:val="left" w:pos="1134"/>
          <w:tab w:val="left" w:pos="1701"/>
        </w:tabs>
        <w:spacing w:after="0" w:line="240" w:lineRule="auto"/>
        <w:jc w:val="center"/>
        <w:rPr>
          <w:rFonts w:ascii="Times New Roman" w:eastAsia="Times New Roman" w:hAnsi="Times New Roman" w:cs="Times New Roman"/>
          <w:b/>
          <w:sz w:val="24"/>
          <w:szCs w:val="24"/>
        </w:rPr>
      </w:pPr>
      <w:r w:rsidRPr="001447F9">
        <w:rPr>
          <w:rFonts w:ascii="Times New Roman" w:eastAsia="Times New Roman" w:hAnsi="Times New Roman" w:cs="Times New Roman"/>
          <w:b/>
          <w:sz w:val="24"/>
          <w:szCs w:val="24"/>
        </w:rPr>
        <w:t>202</w:t>
      </w:r>
      <w:r w:rsidRPr="001447F9">
        <w:rPr>
          <w:rFonts w:ascii="Times New Roman" w:eastAsia="Times New Roman" w:hAnsi="Times New Roman" w:cs="Times New Roman"/>
          <w:b/>
          <w:sz w:val="24"/>
          <w:szCs w:val="24"/>
        </w:rPr>
        <w:t>5</w:t>
      </w:r>
      <w:r w:rsidRPr="001447F9">
        <w:rPr>
          <w:rFonts w:ascii="Times New Roman" w:eastAsia="Times New Roman" w:hAnsi="Times New Roman" w:cs="Times New Roman"/>
          <w:b/>
          <w:sz w:val="24"/>
          <w:szCs w:val="24"/>
        </w:rPr>
        <w:t xml:space="preserve"> METŲ VEIKLOS ATASKAITA</w:t>
      </w:r>
    </w:p>
    <w:p w:rsid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Jonavos „Neries“ pagrindinėje mokykloje</w:t>
      </w:r>
      <w:r w:rsidRPr="001447F9">
        <w:rPr>
          <w:rFonts w:ascii="Times New Roman" w:eastAsia="Times New Roman" w:hAnsi="Times New Roman" w:cs="Times New Roman"/>
          <w:sz w:val="24"/>
          <w:szCs w:val="24"/>
        </w:rPr>
        <w:t xml:space="preserve"> dirba 49 mokytojai, turintys reikiamą pedagoginę ir profesinę kvalifikaciją: 1 mokytojas ekspertas, 16 mokytojų metodininkų, 20 vyresniųjų mokytojų, 13 mokytojų, pagalbos mokiniui specialistai: 2 specialieji pedagogai, 2 logopedas, 1 socialinis pedagogas, 1 psichologas, sveikatos priežiūros, karjeros specialistai. Mokyklai skirti 9 mokinio padėjėjo etatai, specialiojo ugdymo skyriui – 4,75 mokinio padėjėjo ir 2 mokinių palydovų etatai. Specialiojo ugdymo skyriuje dirba judesio korekcijos specialistė. Mokykloje mokosi 470 mokinių, 37 iš jų – specialiojo ugdymo skyriuje. Yra 22 klasių komplektai, specialiojo ugdymo skyriuje - 5 klasių komplektai (4 specialiosios lavinamosios klasės, 1 socialinių įgūdžių klasė).</w:t>
      </w:r>
      <w:r w:rsidRPr="001447F9">
        <w:rPr>
          <w:rFonts w:ascii="Times New Roman" w:eastAsia="Times New Roman" w:hAnsi="Times New Roman" w:cs="Times New Roman"/>
          <w:i/>
          <w:sz w:val="24"/>
          <w:szCs w:val="24"/>
        </w:rPr>
        <w:t xml:space="preserve"> </w:t>
      </w:r>
      <w:r w:rsidRPr="001447F9">
        <w:rPr>
          <w:rFonts w:ascii="Times New Roman" w:eastAsia="Times New Roman" w:hAnsi="Times New Roman" w:cs="Times New Roman"/>
          <w:sz w:val="24"/>
          <w:szCs w:val="24"/>
        </w:rPr>
        <w:t xml:space="preserve">Dauguma Mokyklos mokinių gyvena palankioje socialinėje aplinkoje. Per pastaruosius trejus metus nemokamą maitinimą Mokykloje kasmet gaudavo nuo 15 proc. iki 20 proc. mokinių, nemokamai </w:t>
      </w:r>
      <w:proofErr w:type="spellStart"/>
      <w:r w:rsidRPr="001447F9">
        <w:rPr>
          <w:rFonts w:ascii="Times New Roman" w:eastAsia="Times New Roman" w:hAnsi="Times New Roman" w:cs="Times New Roman"/>
          <w:sz w:val="24"/>
          <w:szCs w:val="24"/>
        </w:rPr>
        <w:t>pavežėjama</w:t>
      </w:r>
      <w:proofErr w:type="spellEnd"/>
      <w:r w:rsidRPr="001447F9">
        <w:rPr>
          <w:rFonts w:ascii="Times New Roman" w:eastAsia="Times New Roman" w:hAnsi="Times New Roman" w:cs="Times New Roman"/>
          <w:sz w:val="24"/>
          <w:szCs w:val="24"/>
        </w:rPr>
        <w:t xml:space="preserve"> apie 8-10 mokinių (be specialiojo ugdymo skyriaus mokinių). Socialinę valstybės paramą gauna apie  15 proc. visų Mokykloje besimokančių vaikų šeimų.</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t>Mokykla finansiškai savarankiška, finansuojama iš valstybės ir savivaldybės biudžeto lėšų. Mokinių maitinimą nuo 2024 m. rugsėjo 1 d. vykdo viešąjį konkursą laimėjusi įmonė UAB ,,</w:t>
      </w:r>
      <w:proofErr w:type="spellStart"/>
      <w:r w:rsidRPr="001447F9">
        <w:rPr>
          <w:rFonts w:ascii="Times New Roman" w:eastAsia="Times New Roman" w:hAnsi="Times New Roman" w:cs="Times New Roman"/>
          <w:sz w:val="24"/>
          <w:szCs w:val="24"/>
        </w:rPr>
        <w:t>Lanėja</w:t>
      </w:r>
      <w:proofErr w:type="spellEnd"/>
      <w:r w:rsidRPr="001447F9">
        <w:rPr>
          <w:rFonts w:ascii="Times New Roman" w:eastAsia="Times New Roman" w:hAnsi="Times New Roman" w:cs="Times New Roman"/>
          <w:sz w:val="24"/>
          <w:szCs w:val="24"/>
        </w:rPr>
        <w:t>“.</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t xml:space="preserve">2025 m. įrengtos mokinių poilsio zona </w:t>
      </w:r>
      <w:proofErr w:type="spellStart"/>
      <w:r w:rsidRPr="001447F9">
        <w:rPr>
          <w:rFonts w:ascii="Times New Roman" w:eastAsia="Times New Roman" w:hAnsi="Times New Roman" w:cs="Times New Roman"/>
          <w:sz w:val="24"/>
          <w:szCs w:val="24"/>
        </w:rPr>
        <w:t>IIa</w:t>
      </w:r>
      <w:proofErr w:type="spellEnd"/>
      <w:r w:rsidRPr="001447F9">
        <w:rPr>
          <w:rFonts w:ascii="Times New Roman" w:eastAsia="Times New Roman" w:hAnsi="Times New Roman" w:cs="Times New Roman"/>
          <w:sz w:val="24"/>
          <w:szCs w:val="24"/>
        </w:rPr>
        <w:t xml:space="preserve"> fojė, suremontuota 1 klasė, II a. personalo WC, įrengtas ugdymo karjerai specialisto kabinetas, specialiojo ugdymo skyriuje naujai įrengtas psichologo kabinetas. Įgyvendinant projektą „Tvari mokykla 2023“ parengta edukacinė priemonė, skirta pažinti mokyklos teritorijoje augančius medžius, atnaujintos popieriaus, plastiko, depozito rūšiavimo dėžės, įrengtas „Daiktų dalijimosi“ taškas.  Mokyklos lėšomis nupirkti 5 išmanieji ekranai, 5 spausdintuvai, įvairių mokymo priemonių, vadovėlių, sporto inventoriaus. Mokykla dalyvavo TŪM programoje, per 2025 metus įrengti muzikos kabinetai mokykloje ir specialiojo ugdymo skyriuje, sensorinis kabinetas – specialiojo ugdymo skyriuje, lauko klasės – kupolai įrengti mokykloje  ir specialiojo ugdymo skyriuje. Įgyvendinta 100 proc. projekto veiklų: Veiklose dalyvavo 95 proc. Mokyklos mokytojų, pagalbos mokiniui specialistų, 95 proc. 1–10 kl. mokinių, 100 proc. specialiojo ugdymo skyriaus mokinių.</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2025 metais mokykloje įgyvendintos veiklos kryptingai atliepė mokyklos strateginiame plane iškeltą pirmąjį tikslą – tobulinti ugdymo procesą, taikant aktyvų mokymą(</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skatinančius metodus ir išnaudojant įvairias ugdymo aplinkas, ir turėjo tiesioginį poveikį mokinių pasiekimams. Aktyviųjų mokymo(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xml:space="preserve">) metodų diegimas, pamokų studijos, integruotų pamokų ciklai ir projektinės veiklos sudarė sąlygas mokiniams mokytis prasmingiau, labiau įsitraukti į mokymosi procesą ir geriau suvokti mokymosi tikslus. Tai atsispindėjo didesniame mokinių aktyvume pamokose, geresniuose dalykiniuose pasiekimuose ir gebėjime taikyti žinias praktinėse, realų gyvenimą atliepiančiose situacijose. Integruotos pamokos ir pamokos kitose aplinkose ypač prisidėjo prie mokinių pažintinių, komunikavimo ir problemų sprendimo kompetencijų stiprinimo, o tai sudarė prielaidas tvaresnei mokymosi pažangai skirtingų gebėjimų mokiniams. Mokinių mokymosi pasiekimų vidurkis 2024- 2025 m. m. pasiekė 7,8 balo (2023-2024 m. m. – 7,6), o gerai ir labai gerai besimokančių mokinių skaičius padidėjo nuo 13 proc. iki 14 proc. Gerėjo NMPP rezultatai: 4-os klasės mokinių NMPP lietuvių kalbos rezultato procentais vidurkis 2024 metais buvo56,8 proc., 2025 m. – 65,6 proc.,8-os klasės mokinių NMPP lietuvių kalbos rezultato procentais vidurkis 2024 metais buvo 60,5 proc., 2025 m. – 71,8 proc., matematikos 2024 m. – 35 proc., 2025 m. – 53,3 proc. </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 xml:space="preserve"> Strateginiame plane numatyta todėl   stiprinti ir plėtoti projektinės veiklos organizavimą, mokiniams sudaryti sąlygas dalyvauti konkursuose, varžybose, olimpiadose, 2025 m. veiklos plane numatytos ir įgyvendintos projektinės veiklos ir </w:t>
      </w:r>
      <w:proofErr w:type="spellStart"/>
      <w:r w:rsidRPr="001447F9">
        <w:rPr>
          <w:rFonts w:ascii="Times New Roman" w:eastAsia="Times New Roman" w:hAnsi="Times New Roman" w:cs="Times New Roman"/>
          <w:sz w:val="24"/>
          <w:szCs w:val="24"/>
        </w:rPr>
        <w:t>inovatyvios</w:t>
      </w:r>
      <w:proofErr w:type="spellEnd"/>
      <w:r w:rsidRPr="001447F9">
        <w:rPr>
          <w:rFonts w:ascii="Times New Roman" w:eastAsia="Times New Roman" w:hAnsi="Times New Roman" w:cs="Times New Roman"/>
          <w:sz w:val="24"/>
          <w:szCs w:val="24"/>
        </w:rPr>
        <w:t xml:space="preserve"> programos turėjo reikšmingą poveikį aukštesniųjų mokinių pasiekimų ugdymui. Ilgalaikiai, tiriamieji rajono ir mokyklos projektai, viktorinos, olimpiados skatino savarankišką mokymąsi, kritinį mąstymą, atsakomybę už rezultatą ir refleksiją, o šalies, tarptautiniai projektai ir konkursai sudarė galimybes mokiniams palyginti savo </w:t>
      </w:r>
      <w:r w:rsidRPr="001447F9">
        <w:rPr>
          <w:rFonts w:ascii="Times New Roman" w:eastAsia="Times New Roman" w:hAnsi="Times New Roman" w:cs="Times New Roman"/>
          <w:sz w:val="24"/>
          <w:szCs w:val="24"/>
        </w:rPr>
        <w:lastRenderedPageBreak/>
        <w:t xml:space="preserve">pasiekimus platesniame – nacionaliniame ir tarptautiniame kontekste. Projektinėje, tiriamojoje veikloje, konkursuose, varžybose dalyvavo apie 80 proc. 1-10 kl. mokinių ir specialiojo ugdymo skyriaus ugdytinių. Tai prisidėjo prie aukštesnių mokinių pasiekimų, aktyvesnio įsitraukimo, didesnio pasitikėjimo savo gebėjimais bei išaugusių prizinių vietų skaičiaus, pvz. respublikiniame informatikos konkurse  „Baitukas-2025“ laimėtos I ir III vietos, XVIII Lietuvos 5–8 klasių mokinių biologijos olimpiadoje – I ir II vietos,  Jonavos rajono matematikos olimpiadoje – II ir III vietos, Lietuvos 5-8 klasių </w:t>
      </w:r>
      <w:proofErr w:type="spellStart"/>
      <w:r w:rsidRPr="001447F9">
        <w:rPr>
          <w:rFonts w:ascii="Times New Roman" w:eastAsia="Times New Roman" w:hAnsi="Times New Roman" w:cs="Times New Roman"/>
          <w:sz w:val="24"/>
          <w:szCs w:val="24"/>
        </w:rPr>
        <w:t>BioMokslų</w:t>
      </w:r>
      <w:proofErr w:type="spellEnd"/>
      <w:r w:rsidRPr="001447F9">
        <w:rPr>
          <w:rFonts w:ascii="Times New Roman" w:eastAsia="Times New Roman" w:hAnsi="Times New Roman" w:cs="Times New Roman"/>
          <w:sz w:val="24"/>
          <w:szCs w:val="24"/>
        </w:rPr>
        <w:t xml:space="preserve"> olimpiada (STEAM) – dvi I vietos, LMŽ zoninėse berniukų kvadrato varžybose – III vieta, mažųjų mokyklų žaidynių zonos berniukų futbolo varžybose – II vieta,  respublikinio piešinių konkurso "Piešiu gyvenimą" laureate tapo specialiojo ugdymo skyriaus 3 kl. mokinė ir kt.</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 xml:space="preserve">        Įgyvendinus uždavinį – ugdymo erdvių </w:t>
      </w:r>
      <w:proofErr w:type="spellStart"/>
      <w:r w:rsidRPr="001447F9">
        <w:rPr>
          <w:rFonts w:ascii="Times New Roman" w:eastAsia="Times New Roman" w:hAnsi="Times New Roman" w:cs="Times New Roman"/>
          <w:sz w:val="24"/>
          <w:szCs w:val="24"/>
        </w:rPr>
        <w:t>įveiklinimas</w:t>
      </w:r>
      <w:proofErr w:type="spellEnd"/>
      <w:r w:rsidRPr="001447F9">
        <w:rPr>
          <w:rFonts w:ascii="Times New Roman" w:eastAsia="Times New Roman" w:hAnsi="Times New Roman" w:cs="Times New Roman"/>
          <w:sz w:val="24"/>
          <w:szCs w:val="24"/>
        </w:rPr>
        <w:t>, pastebimas teigiamas poveikis mokinių emocinei savijautai ir mokymosi sėkmei. Atnaujintų ir pritaikytų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xml:space="preserve">) aplinkų (technologijų, muzikos kabinetų, 1-os klasės), lauko klasių – kupolų, sensorinių ir relaksacinių erdvių, Tyliosios skaityklos, mokyklos muziejaus </w:t>
      </w:r>
      <w:proofErr w:type="spellStart"/>
      <w:r w:rsidRPr="001447F9">
        <w:rPr>
          <w:rFonts w:ascii="Times New Roman" w:eastAsia="Times New Roman" w:hAnsi="Times New Roman" w:cs="Times New Roman"/>
          <w:sz w:val="24"/>
          <w:szCs w:val="24"/>
        </w:rPr>
        <w:t>įveiklinimas</w:t>
      </w:r>
      <w:proofErr w:type="spellEnd"/>
      <w:r w:rsidRPr="001447F9">
        <w:rPr>
          <w:rFonts w:ascii="Times New Roman" w:eastAsia="Times New Roman" w:hAnsi="Times New Roman" w:cs="Times New Roman"/>
          <w:sz w:val="24"/>
          <w:szCs w:val="24"/>
        </w:rPr>
        <w:t xml:space="preserve"> sudarė palankesnes sąlygas </w:t>
      </w:r>
      <w:proofErr w:type="spellStart"/>
      <w:r w:rsidRPr="001447F9">
        <w:rPr>
          <w:rFonts w:ascii="Times New Roman" w:eastAsia="Times New Roman" w:hAnsi="Times New Roman" w:cs="Times New Roman"/>
          <w:sz w:val="24"/>
          <w:szCs w:val="24"/>
        </w:rPr>
        <w:t>įtraukiajam</w:t>
      </w:r>
      <w:proofErr w:type="spellEnd"/>
      <w:r w:rsidRPr="001447F9">
        <w:rPr>
          <w:rFonts w:ascii="Times New Roman" w:eastAsia="Times New Roman" w:hAnsi="Times New Roman" w:cs="Times New Roman"/>
          <w:sz w:val="24"/>
          <w:szCs w:val="24"/>
        </w:rPr>
        <w:t xml:space="preserve"> ugdymui. Per metus fiksuotos 46 mokyklos aplinkų </w:t>
      </w:r>
      <w:proofErr w:type="spellStart"/>
      <w:r w:rsidRPr="001447F9">
        <w:rPr>
          <w:rFonts w:ascii="Times New Roman" w:eastAsia="Times New Roman" w:hAnsi="Times New Roman" w:cs="Times New Roman"/>
          <w:sz w:val="24"/>
          <w:szCs w:val="24"/>
        </w:rPr>
        <w:t>įveiklinimo</w:t>
      </w:r>
      <w:proofErr w:type="spellEnd"/>
      <w:r w:rsidRPr="001447F9">
        <w:rPr>
          <w:rFonts w:ascii="Times New Roman" w:eastAsia="Times New Roman" w:hAnsi="Times New Roman" w:cs="Times New Roman"/>
          <w:sz w:val="24"/>
          <w:szCs w:val="24"/>
        </w:rPr>
        <w:t xml:space="preserve"> veiklos, šiose veiklose dalyvavo apie 60 proc. 1-10 kl. mokinių ir 100 proc. specialiojo ugdymo skyriaus ugdytinių. Palyginti su ankstesniais metais, mokymasis kitose aplinkose padidėjo 30 proc., o tai turėjo teigiamą poveikį mokinių motyvacijai, emocinės savijautos gerėjimui, didesniam įsitraukimui į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xml:space="preserve">) procesą ir stabilesnei mokymosi </w:t>
      </w: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 xml:space="preserve">2025 m. veiklos plano tikslai ir uždaviniai buvo įgyvendinami kryptingai ir sistemiškai, o tai patvirtina konkretūs kiekybiniai rodikliai: integruotų (44), tvarumo nuostatas stiprinančių (14), pamokų skaičius, plati projektinė veikla (19 klasių tiriamųjų projektų), laimėtos 122 prizinės vietos, dalyvauta 12 tarptautinių, 22 respublikiniuose projektuose, surengtos respublikinė praktinė TŪM ir projektinių darbų pristatymo konferencijos, 2 stažuotės, 2 metodinės dienos kitų šalies ir rajono ugdymo įstaigų vadovams ir mokytojams ir kt. Šių veiklų įgyvendinimas turėjo teigiamą poveikį mokinių pasiekimams: stiprėjo akademiniai rezultatai, augo mokinių mokymosi motyvacija, bendrosios kompetencijos ir gebėjimas mokytis savarankiškai. Pasiekti rezultatai atskleidžia stiprėjančią pedagoginę lyderystę, augantį gebėjimą taikyti universalaus dizaino principus bei tikslingą mokomųjų dalykų integravimą. Įgyvendintos veiklos rodo sustiprėjusias mokytojų kompetencijas, aktyvų bendruomenės įsitraukimą, atnaujintas ir tikslingai </w:t>
      </w:r>
      <w:proofErr w:type="spellStart"/>
      <w:r w:rsidRPr="001447F9">
        <w:rPr>
          <w:rFonts w:ascii="Times New Roman" w:eastAsia="Times New Roman" w:hAnsi="Times New Roman" w:cs="Times New Roman"/>
          <w:sz w:val="24"/>
          <w:szCs w:val="24"/>
        </w:rPr>
        <w:t>įveiklinamas</w:t>
      </w:r>
      <w:proofErr w:type="spellEnd"/>
      <w:r w:rsidRPr="001447F9">
        <w:rPr>
          <w:rFonts w:ascii="Times New Roman" w:eastAsia="Times New Roman" w:hAnsi="Times New Roman" w:cs="Times New Roman"/>
          <w:sz w:val="24"/>
          <w:szCs w:val="24"/>
        </w:rPr>
        <w:t xml:space="preserve"> mokyklos aplinkas, didėjančios  mokinių pažangos ir mokyklos ugdymo kokybės siekį. </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Įgyvendintos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integralumo ir įvairovės kryptys 2025 m. sukūrė aiškią pridėtinę vertę mokyklai: sustiprino mokinių pasiekimus ir kompetencijas, pagerino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kokybę, didino mokyklos atvirumą ir patrauklumą bei formavo tvarią, mokytis ir tobulėti orientuotą mokyklos kultūrą. Įvairūs mokymo(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būdai, aktyvūs metodai ir skirtingų tipų užduotys sudarė sąlygas atliepti skirtingus mokinių mokymosi stilius ir poreikius, skatino kiekvieno mokinio pažangą bei sėkmės patirtis. Mokymasis bendradarbiaujant ir tikslinga projektinė veikla stiprino socialines, komunikavimo, problemų sprendimo kompetencijas, ugdė atsakomybę už bendrą rezultatą ir komandinio darbo įgūdžius. Mokytojų apklausos duomenys rodo, kad pasirinkdami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metodus 84,2% mokytojų dažniausiai atsižvelgė į mokinių gebėjimus ir pasiekimus, 78,9% mokytojų – į pamokos tikslus, 73,7% mokytojų – į pamokos turinį. 94,7% mokytojų nurodė, kad vienoje pamokoje taikė 1-4 aktyviuosius ugdymo metodus, 84,2% mokytojų nurodė, kad geriausiai mokinių kompetencijas ugdė pamokos netradicinėje erdvėje ir integruotos dalykų pamokos. Pamokų ir veiklų organizavimas už mokyklos ribų (muziejuose, mokslo centruose, įmonėse, gamtoje, bibliotekose) išplėtė ugdymo aplinkas, praturtino mokymosi patirtis, stiprino mokinių pažintinius, kultūrinius ir karjeros ugdymo(</w:t>
      </w:r>
      <w:proofErr w:type="spellStart"/>
      <w:r w:rsidRPr="001447F9">
        <w:rPr>
          <w:rFonts w:ascii="Times New Roman" w:eastAsia="Times New Roman" w:hAnsi="Times New Roman" w:cs="Times New Roman"/>
          <w:sz w:val="24"/>
          <w:szCs w:val="24"/>
        </w:rPr>
        <w:t>si</w:t>
      </w:r>
      <w:proofErr w:type="spellEnd"/>
      <w:r w:rsidRPr="001447F9">
        <w:rPr>
          <w:rFonts w:ascii="Times New Roman" w:eastAsia="Times New Roman" w:hAnsi="Times New Roman" w:cs="Times New Roman"/>
          <w:sz w:val="24"/>
          <w:szCs w:val="24"/>
        </w:rPr>
        <w:t>) gebėjimus. Mokykla tapo atviresnė bendruomenei ir socialiniams partneriams, o tai didino jos įvaizdį ir patrauklumą.</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P</w:t>
      </w:r>
      <w:r w:rsidRPr="001447F9">
        <w:rPr>
          <w:rFonts w:ascii="Times New Roman" w:eastAsia="Times New Roman" w:hAnsi="Times New Roman" w:cs="Times New Roman"/>
          <w:sz w:val="24"/>
          <w:szCs w:val="24"/>
        </w:rPr>
        <w:t xml:space="preserve">radėtas įgyvendinti </w:t>
      </w:r>
      <w:proofErr w:type="spellStart"/>
      <w:r w:rsidRPr="001447F9">
        <w:rPr>
          <w:rFonts w:ascii="Times New Roman" w:eastAsia="Times New Roman" w:hAnsi="Times New Roman" w:cs="Times New Roman"/>
          <w:sz w:val="24"/>
          <w:szCs w:val="24"/>
        </w:rPr>
        <w:t>rojekt</w:t>
      </w:r>
      <w:r w:rsidRPr="001447F9">
        <w:rPr>
          <w:rFonts w:ascii="Times New Roman" w:eastAsia="Times New Roman" w:hAnsi="Times New Roman" w:cs="Times New Roman"/>
          <w:sz w:val="24"/>
          <w:szCs w:val="24"/>
        </w:rPr>
        <w:t>as</w:t>
      </w:r>
      <w:proofErr w:type="spellEnd"/>
      <w:r w:rsidRPr="001447F9">
        <w:rPr>
          <w:rFonts w:ascii="Times New Roman" w:eastAsia="Times New Roman" w:hAnsi="Times New Roman" w:cs="Times New Roman"/>
          <w:sz w:val="24"/>
          <w:szCs w:val="24"/>
        </w:rPr>
        <w:t xml:space="preserve"> „Visos dienos mokyklos paslaugų prieinamumo didinimas Alytaus miesto savivaldybėje ir Jonavos rajono savivaldybėje“ koordinavimas ir  įgyvendinimas Jonavos „Neries“ pagrindinėje mokykloje. Parengti reikiami projekto dokumentai (mokyklos tvarkos aprašas, sutarties forma, veiklos planas, pareigybės aprašymas, mokinių anketos ir kt.), nuolat </w:t>
      </w:r>
      <w:r w:rsidRPr="001447F9">
        <w:rPr>
          <w:rFonts w:ascii="Times New Roman" w:eastAsia="Times New Roman" w:hAnsi="Times New Roman" w:cs="Times New Roman"/>
          <w:sz w:val="24"/>
          <w:szCs w:val="24"/>
        </w:rPr>
        <w:lastRenderedPageBreak/>
        <w:t xml:space="preserve">dalyvauta projekto darbo grupės susirinkimuose, teikti pasiūlymai, derinti įvairūs klausimai dėl edukacijų organizavimo, priemonių įsigijimo, neformalaus ugdymo ir grupės veiklos dermės ir pan. Koordinuotas mokytojų ir pagalbos mokiniui specialistų kompetencijų stiprinimas – sudaryti mokymų dalyvių sąrašai, teiktos atskaitos ir kt. (mokymai vyko 2025 m. spalio – gruodžio </w:t>
      </w:r>
      <w:proofErr w:type="spellStart"/>
      <w:r w:rsidRPr="001447F9">
        <w:rPr>
          <w:rFonts w:ascii="Times New Roman" w:eastAsia="Times New Roman" w:hAnsi="Times New Roman" w:cs="Times New Roman"/>
          <w:sz w:val="24"/>
          <w:szCs w:val="24"/>
        </w:rPr>
        <w:t>mėn</w:t>
      </w:r>
      <w:proofErr w:type="spellEnd"/>
      <w:r w:rsidRPr="001447F9">
        <w:rPr>
          <w:rFonts w:ascii="Times New Roman" w:eastAsia="Times New Roman" w:hAnsi="Times New Roman" w:cs="Times New Roman"/>
          <w:sz w:val="24"/>
          <w:szCs w:val="24"/>
        </w:rPr>
        <w:t>).</w:t>
      </w:r>
    </w:p>
    <w:p w:rsidR="00DF0F9B"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VDM pailgintos dienos grupė suformuota, įdarbinti darbuotojai, veikla pradėta nuo 2026-01-01.</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Įgyvendintas ilgalaikis Jonavos rajono savivaldybės administracijos ir Jonavos rajono savivaldybės visuomenės sveikatos biuro projektas Nr. 22-524-P-0001 „Prevencinių priemonių, stiprinančių visuomenės sveikatą, psichologinę gerovę ir atsparumą, įgyvendinimas Jonavos rajone“. Dalyviai -  Jonavos „Neries“ pagrindinės mokyklos bendruomenė. Įvyko 60 užsiėmimų 5-8 kl. mokiniams (122 dalyviai), 3 užsiėmimai mokinių tėvams, 2 užsiėmimai mokytojams.</w:t>
      </w: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 xml:space="preserve">Įgyvendintas Jaunimo reikalų agentūros projektas - „Naujų darbo su jaunimu paslaugų kūrimas Jonavos rajono savivaldybėje – „Bandome mokykloje!“. Į projektą įsitraukė  ir veiklose sudalyvavo 235  5-10 klasių mokiniai. </w:t>
      </w:r>
    </w:p>
    <w:p w:rsid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ab/>
      </w:r>
      <w:r w:rsidRPr="001447F9">
        <w:rPr>
          <w:rFonts w:ascii="Times New Roman" w:eastAsia="Times New Roman" w:hAnsi="Times New Roman" w:cs="Times New Roman"/>
          <w:sz w:val="24"/>
          <w:szCs w:val="24"/>
        </w:rPr>
        <w:t xml:space="preserve"> Kartu su Jonavos rajono savivaldybės visuomenės sveikatos biuru įgyvendinta 40 val. mokymų programa, mokyklos darbuotojų psichologinės sveikatos kompetencijų stiprinimui.</w:t>
      </w:r>
    </w:p>
    <w:p w:rsid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p>
    <w:p w:rsid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p>
    <w:p w:rsidR="001447F9" w:rsidRPr="001447F9" w:rsidRDefault="001447F9" w:rsidP="001447F9">
      <w:pPr>
        <w:tabs>
          <w:tab w:val="left" w:pos="1134"/>
          <w:tab w:val="left" w:pos="1701"/>
        </w:tabs>
        <w:spacing w:after="0" w:line="240" w:lineRule="auto"/>
        <w:jc w:val="both"/>
        <w:rPr>
          <w:rFonts w:ascii="Times New Roman" w:eastAsia="Times New Roman" w:hAnsi="Times New Roman" w:cs="Times New Roman"/>
          <w:sz w:val="24"/>
          <w:szCs w:val="24"/>
        </w:rPr>
      </w:pPr>
      <w:r w:rsidRPr="001447F9">
        <w:rPr>
          <w:rFonts w:ascii="Times New Roman" w:eastAsia="Times New Roman" w:hAnsi="Times New Roman" w:cs="Times New Roman"/>
          <w:sz w:val="24"/>
          <w:szCs w:val="24"/>
        </w:rPr>
        <w:t>Direktorė</w:t>
      </w:r>
      <w:r>
        <w:rPr>
          <w:rFonts w:ascii="Times New Roman" w:eastAsia="Times New Roman" w:hAnsi="Times New Roman" w:cs="Times New Roman"/>
          <w:sz w:val="24"/>
          <w:szCs w:val="24"/>
        </w:rPr>
        <w:t xml:space="preserve">                      </w:t>
      </w:r>
      <w:bookmarkStart w:id="0" w:name="_GoBack"/>
      <w:r>
        <w:rPr>
          <w:rFonts w:ascii="Times New Roman" w:eastAsia="Times New Roman" w:hAnsi="Times New Roman" w:cs="Times New Roman"/>
          <w:sz w:val="24"/>
          <w:szCs w:val="24"/>
        </w:rPr>
        <w:t xml:space="preserve"> </w:t>
      </w:r>
      <w:bookmarkEnd w:id="0"/>
      <w:r>
        <w:rPr>
          <w:rFonts w:ascii="Times New Roman" w:eastAsia="Times New Roman" w:hAnsi="Times New Roman" w:cs="Times New Roman"/>
          <w:sz w:val="24"/>
          <w:szCs w:val="24"/>
        </w:rPr>
        <w:t xml:space="preserve">                                                                        </w:t>
      </w:r>
      <w:r w:rsidRPr="001447F9">
        <w:rPr>
          <w:rFonts w:ascii="Times New Roman" w:eastAsia="Times New Roman" w:hAnsi="Times New Roman" w:cs="Times New Roman"/>
          <w:sz w:val="24"/>
          <w:szCs w:val="24"/>
        </w:rPr>
        <w:t xml:space="preserve"> Gražina </w:t>
      </w:r>
      <w:proofErr w:type="spellStart"/>
      <w:r w:rsidRPr="001447F9">
        <w:rPr>
          <w:rFonts w:ascii="Times New Roman" w:eastAsia="Times New Roman" w:hAnsi="Times New Roman" w:cs="Times New Roman"/>
          <w:sz w:val="24"/>
          <w:szCs w:val="24"/>
        </w:rPr>
        <w:t>Gečienė</w:t>
      </w:r>
      <w:proofErr w:type="spellEnd"/>
    </w:p>
    <w:sectPr w:rsidR="001447F9" w:rsidRPr="001447F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7F9"/>
    <w:rsid w:val="001447F9"/>
    <w:rsid w:val="00DF0F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8ECD6-341C-4C13-89AA-A5F011FB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7F9"/>
    <w:pPr>
      <w:spacing w:after="200" w:line="276" w:lineRule="auto"/>
    </w:pPr>
    <w:rPr>
      <w:rFonts w:ascii="Calibri" w:eastAsia="Calibri" w:hAnsi="Calibri" w:cs="Calibri"/>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6619</Words>
  <Characters>3773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2026-03-04T09:46:00Z</dcterms:created>
  <dcterms:modified xsi:type="dcterms:W3CDTF">2026-03-04T09:54:00Z</dcterms:modified>
</cp:coreProperties>
</file>